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2086D" w14:textId="77777777" w:rsidR="00A82B3B" w:rsidRDefault="002F217D" w:rsidP="00E07233">
      <w:pPr>
        <w:pStyle w:val="Heading1"/>
      </w:pPr>
      <w:bookmarkStart w:id="0" w:name="_GoBack"/>
      <w:bookmarkEnd w:id="0"/>
      <w:r>
        <w:t xml:space="preserve">Seven principles </w:t>
      </w:r>
      <w:r w:rsidR="0004524B">
        <w:t xml:space="preserve">of learning </w:t>
      </w:r>
      <w:r w:rsidR="00E07233" w:rsidRPr="00E07233">
        <w:t>c</w:t>
      </w:r>
      <w:r w:rsidR="00877B74" w:rsidRPr="00E07233">
        <w:t>hart</w:t>
      </w:r>
    </w:p>
    <w:p w14:paraId="7489DBDE" w14:textId="77777777" w:rsidR="00E07233" w:rsidRPr="00E07233" w:rsidRDefault="00E07233" w:rsidP="00E07233">
      <w:pPr>
        <w:rPr>
          <w:i/>
        </w:rPr>
      </w:pPr>
      <w:r w:rsidRPr="00E07233">
        <w:rPr>
          <w:i/>
        </w:rPr>
        <w:t>Developed by Ellen Hauser and Bernadette Pearce</w:t>
      </w:r>
      <w:r>
        <w:rPr>
          <w:i/>
        </w:rPr>
        <w:t xml:space="preserve">, </w:t>
      </w:r>
      <w:r w:rsidRPr="00E07233">
        <w:rPr>
          <w:i/>
        </w:rPr>
        <w:t>Sand</w:t>
      </w:r>
      <w:r>
        <w:rPr>
          <w:i/>
        </w:rPr>
        <w:t xml:space="preserve">hurst Catholic Education Office, </w:t>
      </w:r>
      <w:r w:rsidRPr="00E07233">
        <w:rPr>
          <w:i/>
        </w:rPr>
        <w:t>Wagga Wagga</w:t>
      </w:r>
      <w:r>
        <w:rPr>
          <w:i/>
        </w:rPr>
        <w:t>, Australia</w:t>
      </w:r>
      <w:r w:rsidRPr="00E07233">
        <w:rPr>
          <w:i/>
        </w:rPr>
        <w:t>.</w:t>
      </w:r>
    </w:p>
    <w:p w14:paraId="67C4BC2C" w14:textId="77777777" w:rsidR="00275689" w:rsidRDefault="00275689" w:rsidP="00275689">
      <w:r>
        <w:t xml:space="preserve">The </w:t>
      </w:r>
      <w:r w:rsidR="00E07233">
        <w:t xml:space="preserve">OECD’s </w:t>
      </w:r>
      <w:r>
        <w:t>work on innovative learning environments was led by</w:t>
      </w:r>
      <w:r w:rsidRPr="00275689">
        <w:rPr>
          <w:rFonts w:ascii="HelveticaNeue-Bold" w:hAnsi="HelveticaNeue-Bold" w:cs="HelveticaNeue-Bold"/>
          <w:b/>
          <w:bCs/>
          <w:sz w:val="26"/>
          <w:szCs w:val="26"/>
        </w:rPr>
        <w:t xml:space="preserve"> </w:t>
      </w:r>
      <w:r w:rsidRPr="00275689">
        <w:rPr>
          <w:bCs/>
        </w:rPr>
        <w:t>Hanna Dumont, David Istance</w:t>
      </w:r>
      <w:r>
        <w:rPr>
          <w:bCs/>
        </w:rPr>
        <w:t xml:space="preserve"> </w:t>
      </w:r>
      <w:r w:rsidRPr="00275689">
        <w:rPr>
          <w:bCs/>
        </w:rPr>
        <w:t>and Francisco Benavides</w:t>
      </w:r>
      <w:r>
        <w:t>. The</w:t>
      </w:r>
      <w:r w:rsidR="00E07233">
        <w:t>ir 2010</w:t>
      </w:r>
      <w:r>
        <w:t xml:space="preserve"> </w:t>
      </w:r>
      <w:r w:rsidR="00E07233">
        <w:t>report “The Nature of Learning”  identified</w:t>
      </w:r>
      <w:r>
        <w:t xml:space="preserve"> seven principles</w:t>
      </w:r>
      <w:r w:rsidR="0004524B">
        <w:t xml:space="preserve"> of learning</w:t>
      </w:r>
      <w:r>
        <w:t>:</w:t>
      </w:r>
    </w:p>
    <w:p w14:paraId="0173D85A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Learners at the centre</w:t>
      </w:r>
    </w:p>
    <w:p w14:paraId="543FAB8B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The social nature of learning</w:t>
      </w:r>
    </w:p>
    <w:p w14:paraId="29A4CBD7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Emotions are central to learning</w:t>
      </w:r>
    </w:p>
    <w:p w14:paraId="322CBBF7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Recognising individual differences</w:t>
      </w:r>
    </w:p>
    <w:p w14:paraId="7933C9CB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Stretching all students</w:t>
      </w:r>
    </w:p>
    <w:p w14:paraId="52D1737F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Assessment for learning</w:t>
      </w:r>
    </w:p>
    <w:p w14:paraId="4848A7A0" w14:textId="77777777" w:rsidR="00275689" w:rsidRDefault="00275689" w:rsidP="00E07233">
      <w:pPr>
        <w:pStyle w:val="ListParagraph"/>
        <w:numPr>
          <w:ilvl w:val="0"/>
          <w:numId w:val="12"/>
        </w:numPr>
      </w:pPr>
      <w:r>
        <w:t>Building horizontal connections</w:t>
      </w:r>
    </w:p>
    <w:p w14:paraId="265392D2" w14:textId="77777777" w:rsidR="00275689" w:rsidRDefault="00F91805" w:rsidP="00275689">
      <w:r>
        <w:t xml:space="preserve">Each of these principles </w:t>
      </w:r>
      <w:r w:rsidR="0025592F">
        <w:t xml:space="preserve">is </w:t>
      </w:r>
      <w:r>
        <w:t xml:space="preserve">described in more detail in the </w:t>
      </w:r>
      <w:r w:rsidR="00E07233">
        <w:t xml:space="preserve">research report and in the 2012 </w:t>
      </w:r>
      <w:r>
        <w:t>practitioner guide</w:t>
      </w:r>
      <w:r w:rsidR="00E07233">
        <w:t xml:space="preserve">: </w:t>
      </w:r>
      <w:hyperlink r:id="rId8" w:history="1">
        <w:r w:rsidR="00E07233" w:rsidRPr="0004524B">
          <w:rPr>
            <w:rStyle w:val="Hyperlink"/>
          </w:rPr>
          <w:t>Nature of Learning: Practitioner guide</w:t>
        </w:r>
      </w:hyperlink>
      <w:r w:rsidR="00E07233">
        <w:t xml:space="preserve"> (PDF)</w:t>
      </w:r>
      <w:r>
        <w:t>.</w:t>
      </w:r>
    </w:p>
    <w:p w14:paraId="6F345921" w14:textId="77777777" w:rsidR="007C51B7" w:rsidRDefault="00F91805" w:rsidP="00275689">
      <w:r>
        <w:t xml:space="preserve">One way to help leaders and teachers to scan the learning environment using the seven principles is to ask them to </w:t>
      </w:r>
      <w:r w:rsidR="007C51B7">
        <w:t xml:space="preserve">carefully read </w:t>
      </w:r>
      <w:r>
        <w:t xml:space="preserve">each of the descriptions in the practitioner guide and then to fill in the boxes on the chart on the next page. </w:t>
      </w:r>
    </w:p>
    <w:p w14:paraId="464C34D5" w14:textId="77777777" w:rsidR="00E07233" w:rsidRDefault="007C51B7" w:rsidP="00275689">
      <w:r>
        <w:t xml:space="preserve">There are three main questions to consider for each of the principles: </w:t>
      </w:r>
    </w:p>
    <w:p w14:paraId="7493B44E" w14:textId="77777777" w:rsidR="00E07233" w:rsidRDefault="007C51B7" w:rsidP="00E07233">
      <w:pPr>
        <w:pStyle w:val="ListParagraph"/>
        <w:numPr>
          <w:ilvl w:val="0"/>
          <w:numId w:val="13"/>
        </w:numPr>
      </w:pPr>
      <w:r>
        <w:t xml:space="preserve">What are we doing well </w:t>
      </w:r>
      <w:r w:rsidR="0025592F">
        <w:t>that is promoting learning and how do we know</w:t>
      </w:r>
      <w:r>
        <w:t xml:space="preserve">? </w:t>
      </w:r>
    </w:p>
    <w:p w14:paraId="617907E0" w14:textId="77777777" w:rsidR="00E07233" w:rsidRDefault="007C51B7" w:rsidP="00E07233">
      <w:pPr>
        <w:pStyle w:val="ListParagraph"/>
        <w:numPr>
          <w:ilvl w:val="0"/>
          <w:numId w:val="13"/>
        </w:numPr>
      </w:pPr>
      <w:r>
        <w:t xml:space="preserve">What are we not doing so well </w:t>
      </w:r>
      <w:r w:rsidR="0025592F">
        <w:t xml:space="preserve">that isn’t promoting learning </w:t>
      </w:r>
      <w:r>
        <w:t>and what evidence do we have?</w:t>
      </w:r>
    </w:p>
    <w:p w14:paraId="7B2FF9CF" w14:textId="77777777" w:rsidR="007C51B7" w:rsidRDefault="007C51B7" w:rsidP="00E07233">
      <w:pPr>
        <w:pStyle w:val="ListParagraph"/>
        <w:numPr>
          <w:ilvl w:val="0"/>
          <w:numId w:val="13"/>
        </w:numPr>
      </w:pPr>
      <w:r>
        <w:t>What do</w:t>
      </w:r>
      <w:r w:rsidR="00E07233">
        <w:t xml:space="preserve"> we need to think about next? (T</w:t>
      </w:r>
      <w:r>
        <w:t xml:space="preserve">his last question might </w:t>
      </w:r>
      <w:r w:rsidR="0025592F">
        <w:t xml:space="preserve">be about </w:t>
      </w:r>
      <w:r>
        <w:t xml:space="preserve">collecting </w:t>
      </w:r>
      <w:r w:rsidR="0025592F">
        <w:t xml:space="preserve">further </w:t>
      </w:r>
      <w:r>
        <w:t xml:space="preserve">evidence, or </w:t>
      </w:r>
      <w:r w:rsidR="0025592F">
        <w:t xml:space="preserve">be about </w:t>
      </w:r>
      <w:r>
        <w:t xml:space="preserve">developing a focus in the spiral). </w:t>
      </w:r>
    </w:p>
    <w:p w14:paraId="7A8F6771" w14:textId="77777777" w:rsidR="00E07233" w:rsidRDefault="00F91805" w:rsidP="00275689">
      <w:r>
        <w:t>The chart needs to be electronic or pr</w:t>
      </w:r>
      <w:r w:rsidR="00E07233">
        <w:t>inted on a large sheet of paper.</w:t>
      </w:r>
    </w:p>
    <w:p w14:paraId="6A8053F5" w14:textId="77777777" w:rsidR="00E07233" w:rsidRDefault="00E07233">
      <w:pPr>
        <w:rPr>
          <w:b/>
        </w:rPr>
      </w:pPr>
    </w:p>
    <w:p w14:paraId="5821CC39" w14:textId="77777777" w:rsidR="00E07233" w:rsidRDefault="0025592F">
      <w:pPr>
        <w:rPr>
          <w:b/>
        </w:rPr>
      </w:pPr>
      <w:r>
        <w:rPr>
          <w:b/>
        </w:rPr>
        <w:t>NOTE</w:t>
      </w:r>
    </w:p>
    <w:p w14:paraId="23A487F7" w14:textId="77777777" w:rsidR="0025592F" w:rsidRPr="0025592F" w:rsidRDefault="0025592F">
      <w:pPr>
        <w:sectPr w:rsidR="0025592F" w:rsidRPr="0025592F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5592F">
        <w:t>The same principles apply to professional learning environments.</w:t>
      </w:r>
      <w:r w:rsidR="00E07233">
        <w:t xml:space="preserve"> When you get to the New learning</w:t>
      </w:r>
      <w:r>
        <w:t xml:space="preserve"> phase</w:t>
      </w:r>
      <w:r w:rsidR="00E07233">
        <w:t xml:space="preserve"> of the spiral of inquiry, learning and action</w:t>
      </w:r>
      <w:r>
        <w:t>, it might be important to visit these principles again in relation to professional learning.</w:t>
      </w:r>
    </w:p>
    <w:p w14:paraId="7A00DFBA" w14:textId="77777777" w:rsidR="007C51B7" w:rsidRDefault="0025592F" w:rsidP="007C51B7">
      <w:r>
        <w:lastRenderedPageBreak/>
        <w:t xml:space="preserve">WHAT DO WE KNOW ABOUT </w:t>
      </w:r>
      <w:r w:rsidR="007C51B7">
        <w:t xml:space="preserve">THE </w:t>
      </w:r>
      <w:r w:rsidR="00E07233">
        <w:t xml:space="preserve">OECD’s </w:t>
      </w:r>
      <w:r w:rsidR="007C51B7">
        <w:t xml:space="preserve">7 PRINCIPLES </w:t>
      </w:r>
      <w:r w:rsidR="0004524B">
        <w:t xml:space="preserve">OF LEARNING </w:t>
      </w:r>
      <w:r>
        <w:t xml:space="preserve">IN </w:t>
      </w:r>
      <w:r w:rsidR="007C51B7">
        <w:t>OUR STUDENT</w:t>
      </w:r>
      <w:r>
        <w:t>S</w:t>
      </w:r>
      <w:r w:rsidR="00E07233">
        <w:t>’</w:t>
      </w:r>
      <w:r w:rsidR="007C51B7">
        <w:t xml:space="preserve"> LEARNING</w:t>
      </w:r>
      <w:r>
        <w:t xml:space="preserve"> ENVIRONMENTS</w:t>
      </w:r>
      <w:r w:rsidR="007C51B7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  <w:gridCol w:w="2351"/>
        <w:gridCol w:w="2351"/>
        <w:gridCol w:w="2351"/>
        <w:gridCol w:w="2351"/>
        <w:gridCol w:w="2351"/>
      </w:tblGrid>
      <w:tr w:rsidR="007C51B7" w14:paraId="0F01B070" w14:textId="77777777" w:rsidTr="00E07233">
        <w:tc>
          <w:tcPr>
            <w:tcW w:w="23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0E93C9FA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  <w:r w:rsidRPr="00E07233">
              <w:rPr>
                <w:rFonts w:asciiTheme="minorHAnsi" w:hAnsiTheme="minorHAnsi"/>
                <w:color w:val="FF0000"/>
              </w:rPr>
              <w:t xml:space="preserve">What are we doing well </w:t>
            </w:r>
            <w:r w:rsidR="007C0CB3" w:rsidRPr="00E07233">
              <w:rPr>
                <w:rFonts w:asciiTheme="minorHAnsi" w:hAnsiTheme="minorHAnsi"/>
                <w:color w:val="FF0000"/>
              </w:rPr>
              <w:t>that is promoting learning</w:t>
            </w:r>
          </w:p>
        </w:tc>
        <w:tc>
          <w:tcPr>
            <w:tcW w:w="23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56B82268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CC99"/>
          </w:tcPr>
          <w:p w14:paraId="710CDE86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  <w:r w:rsidRPr="00E07233">
              <w:rPr>
                <w:rFonts w:asciiTheme="minorHAnsi" w:hAnsiTheme="minorHAnsi"/>
                <w:color w:val="FF0000"/>
              </w:rPr>
              <w:t>What are we not doing so well</w:t>
            </w:r>
            <w:r w:rsidR="007C0CB3" w:rsidRPr="00E07233">
              <w:rPr>
                <w:rFonts w:asciiTheme="minorHAnsi" w:hAnsiTheme="minorHAnsi"/>
                <w:color w:val="FF0000"/>
              </w:rPr>
              <w:t xml:space="preserve"> that isn’t promoting learning</w:t>
            </w:r>
            <w:r w:rsidRPr="00E07233">
              <w:rPr>
                <w:rFonts w:asciiTheme="minorHAnsi" w:hAnsiTheme="minorHAnsi"/>
                <w:color w:val="FF0000"/>
              </w:rPr>
              <w:t>?</w:t>
            </w:r>
          </w:p>
          <w:p w14:paraId="15C1A65B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  <w:p w14:paraId="4117A549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  <w:p w14:paraId="432CAC26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23D50459" w14:textId="77777777" w:rsidR="007C51B7" w:rsidRPr="00E07233" w:rsidRDefault="007C51B7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are we doing well</w:t>
            </w:r>
            <w:r w:rsidR="007C0CB3" w:rsidRPr="00E07233">
              <w:rPr>
                <w:rFonts w:asciiTheme="minorHAnsi" w:hAnsiTheme="minorHAnsi"/>
                <w:color w:val="984806" w:themeColor="accent6" w:themeShade="80"/>
              </w:rPr>
              <w:t xml:space="preserve"> that is promoting learning</w:t>
            </w:r>
            <w:r w:rsidRPr="00E07233">
              <w:rPr>
                <w:rFonts w:asciiTheme="minorHAnsi" w:hAnsiTheme="minorHAnsi"/>
                <w:color w:val="984806" w:themeColor="accent6" w:themeShade="80"/>
              </w:rPr>
              <w:t>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3E149C4E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99"/>
          </w:tcPr>
          <w:p w14:paraId="37BD2B3C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are we not doing so well</w:t>
            </w:r>
            <w:r w:rsidR="007C0CB3" w:rsidRPr="00E07233">
              <w:rPr>
                <w:rFonts w:asciiTheme="minorHAnsi" w:hAnsiTheme="minorHAnsi"/>
                <w:color w:val="984806" w:themeColor="accent6" w:themeShade="80"/>
              </w:rPr>
              <w:t xml:space="preserve"> and isn’t promoting learning</w:t>
            </w:r>
            <w:r w:rsidRPr="00E07233">
              <w:rPr>
                <w:rFonts w:asciiTheme="minorHAnsi" w:hAnsiTheme="minorHAnsi"/>
                <w:color w:val="984806" w:themeColor="accent6" w:themeShade="80"/>
              </w:rPr>
              <w:t>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6F3080E6" w14:textId="77777777" w:rsidR="007C51B7" w:rsidRPr="00E07233" w:rsidRDefault="007C51B7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are we doing well</w:t>
            </w:r>
            <w:r w:rsidR="007C0CB3" w:rsidRPr="00E07233">
              <w:rPr>
                <w:rFonts w:asciiTheme="minorHAnsi" w:hAnsiTheme="minorHAnsi"/>
                <w:color w:val="244061" w:themeColor="accent1" w:themeShade="80"/>
              </w:rPr>
              <w:t xml:space="preserve"> that is promoting learning</w:t>
            </w:r>
            <w:r w:rsidRPr="00E07233">
              <w:rPr>
                <w:rFonts w:asciiTheme="minorHAnsi" w:hAnsiTheme="minorHAnsi"/>
                <w:color w:val="244061" w:themeColor="accent1" w:themeShade="80"/>
              </w:rPr>
              <w:t>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32CDEB2C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FFCC"/>
          </w:tcPr>
          <w:p w14:paraId="20C3B4F4" w14:textId="77777777" w:rsidR="007C51B7" w:rsidRPr="00E07233" w:rsidRDefault="007C51B7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are we not doing so well</w:t>
            </w:r>
            <w:r w:rsidR="007C0CB3" w:rsidRPr="00E07233">
              <w:rPr>
                <w:rFonts w:asciiTheme="minorHAnsi" w:hAnsiTheme="minorHAnsi"/>
                <w:color w:val="244061" w:themeColor="accent1" w:themeShade="80"/>
              </w:rPr>
              <w:t xml:space="preserve"> and isn’t promoting learning</w:t>
            </w:r>
            <w:r w:rsidRPr="00E07233">
              <w:rPr>
                <w:rFonts w:asciiTheme="minorHAnsi" w:hAnsiTheme="minorHAnsi"/>
                <w:color w:val="244061" w:themeColor="accent1" w:themeShade="80"/>
              </w:rPr>
              <w:t>?</w:t>
            </w:r>
          </w:p>
        </w:tc>
      </w:tr>
      <w:tr w:rsidR="007C51B7" w14:paraId="4C98796F" w14:textId="77777777" w:rsidTr="00E07233">
        <w:tc>
          <w:tcPr>
            <w:tcW w:w="2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4EDA6A37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  <w:r w:rsidRPr="00E07233">
              <w:rPr>
                <w:rFonts w:asciiTheme="minorHAnsi" w:hAnsiTheme="minorHAnsi"/>
                <w:color w:val="FF0000"/>
              </w:rPr>
              <w:t>What evidence do we have?</w:t>
            </w:r>
          </w:p>
          <w:p w14:paraId="2C299C4B" w14:textId="77777777" w:rsidR="007C0CB3" w:rsidRPr="00E07233" w:rsidRDefault="007C0CB3" w:rsidP="00E07233">
            <w:pPr>
              <w:rPr>
                <w:rFonts w:asciiTheme="minorHAnsi" w:hAnsiTheme="minorHAnsi"/>
                <w:color w:val="FF0000"/>
              </w:rPr>
            </w:pPr>
          </w:p>
          <w:p w14:paraId="535DBAB1" w14:textId="77777777" w:rsidR="007C0CB3" w:rsidRPr="00E07233" w:rsidRDefault="007C0CB3" w:rsidP="00E07233">
            <w:pPr>
              <w:rPr>
                <w:rFonts w:asciiTheme="minorHAnsi" w:hAnsiTheme="minorHAnsi"/>
                <w:color w:val="FF0000"/>
              </w:rPr>
            </w:pPr>
          </w:p>
          <w:p w14:paraId="4DD00326" w14:textId="77777777" w:rsidR="007C0CB3" w:rsidRPr="00E07233" w:rsidRDefault="007C0CB3" w:rsidP="00E07233">
            <w:pPr>
              <w:rPr>
                <w:rFonts w:asciiTheme="minorHAnsi" w:hAnsiTheme="minorHAnsi"/>
                <w:color w:val="FF0000"/>
              </w:rPr>
            </w:pPr>
          </w:p>
          <w:p w14:paraId="4015A365" w14:textId="77777777" w:rsidR="007C0CB3" w:rsidRPr="00E07233" w:rsidRDefault="007C0CB3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192A2453" w14:textId="77777777" w:rsidR="007C51B7" w:rsidRPr="00E07233" w:rsidRDefault="00E07233" w:rsidP="00E07233">
            <w:pPr>
              <w:rPr>
                <w:rFonts w:asciiTheme="minorHAnsi" w:hAnsiTheme="minorHAnsi"/>
                <w:b/>
              </w:rPr>
            </w:pPr>
            <w:r w:rsidRPr="00E07233">
              <w:rPr>
                <w:rFonts w:asciiTheme="minorHAnsi" w:hAnsiTheme="minorHAnsi"/>
                <w:b/>
              </w:rPr>
              <w:t xml:space="preserve">1. </w:t>
            </w:r>
            <w:r w:rsidR="007C51B7" w:rsidRPr="00E07233">
              <w:rPr>
                <w:rFonts w:asciiTheme="minorHAnsi" w:hAnsiTheme="minorHAnsi"/>
                <w:b/>
              </w:rPr>
              <w:t>Learners at the centre</w:t>
            </w:r>
          </w:p>
          <w:p w14:paraId="00C03456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68A472D9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07D6E41A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59F95C49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CC99"/>
          </w:tcPr>
          <w:p w14:paraId="4E56481E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  <w:r w:rsidRPr="00E07233">
              <w:rPr>
                <w:rFonts w:asciiTheme="minorHAnsi" w:hAnsiTheme="minorHAnsi"/>
                <w:color w:val="FF0000"/>
              </w:rPr>
              <w:t>What evidence do we have?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F197A71" w14:textId="77777777" w:rsidR="007C51B7" w:rsidRPr="00E07233" w:rsidRDefault="007C51B7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evidence do we have?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6F7B2F31" w14:textId="77777777" w:rsidR="007C51B7" w:rsidRPr="00E07233" w:rsidRDefault="007C51B7" w:rsidP="007C0CB3">
            <w:pPr>
              <w:rPr>
                <w:rFonts w:asciiTheme="minorHAnsi" w:hAnsiTheme="minorHAnsi"/>
                <w:b/>
              </w:rPr>
            </w:pPr>
            <w:r w:rsidRPr="00E07233">
              <w:rPr>
                <w:rFonts w:asciiTheme="minorHAnsi" w:hAnsiTheme="minorHAnsi"/>
                <w:b/>
              </w:rPr>
              <w:t>2. Social nature of learning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99"/>
          </w:tcPr>
          <w:p w14:paraId="63CE6B73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evidence do we have?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00FD1657" w14:textId="77777777" w:rsidR="007C51B7" w:rsidRPr="00E07233" w:rsidRDefault="007C51B7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evidence do we have?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14:paraId="084EA8E1" w14:textId="77777777" w:rsidR="007C51B7" w:rsidRPr="00E07233" w:rsidRDefault="007C51B7" w:rsidP="007C0CB3">
            <w:pPr>
              <w:rPr>
                <w:rFonts w:asciiTheme="minorHAnsi" w:hAnsiTheme="minorHAnsi"/>
                <w:b/>
              </w:rPr>
            </w:pPr>
            <w:r w:rsidRPr="00E07233">
              <w:rPr>
                <w:rFonts w:asciiTheme="minorHAnsi" w:hAnsiTheme="minorHAnsi"/>
                <w:b/>
              </w:rPr>
              <w:t>3. Emotions are integral to learning</w:t>
            </w:r>
            <w:r w:rsidR="007C0CB3" w:rsidRPr="00E0723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FFCC"/>
          </w:tcPr>
          <w:p w14:paraId="4CB165B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evidence do we have?</w:t>
            </w:r>
          </w:p>
        </w:tc>
      </w:tr>
      <w:tr w:rsidR="007C51B7" w14:paraId="526B0E45" w14:textId="77777777" w:rsidTr="00E07233">
        <w:tc>
          <w:tcPr>
            <w:tcW w:w="23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CC99"/>
          </w:tcPr>
          <w:p w14:paraId="107765DA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  <w:r w:rsidRPr="00E07233">
              <w:rPr>
                <w:rFonts w:asciiTheme="minorHAnsi" w:hAnsiTheme="minorHAnsi"/>
                <w:color w:val="FF0000"/>
              </w:rPr>
              <w:t>What next?</w:t>
            </w:r>
          </w:p>
          <w:p w14:paraId="4F8B1D75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26F5F35D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4485F2CE" w14:textId="77777777" w:rsidR="007C0CB3" w:rsidRPr="00E07233" w:rsidRDefault="007C0CB3" w:rsidP="00E07233">
            <w:pPr>
              <w:rPr>
                <w:rFonts w:asciiTheme="minorHAnsi" w:hAnsiTheme="minorHAnsi"/>
              </w:rPr>
            </w:pPr>
          </w:p>
          <w:p w14:paraId="61C08F44" w14:textId="77777777" w:rsidR="007C0CB3" w:rsidRPr="00E07233" w:rsidRDefault="007C0CB3" w:rsidP="00E07233">
            <w:pPr>
              <w:rPr>
                <w:rFonts w:asciiTheme="minorHAnsi" w:hAnsiTheme="minorHAnsi"/>
              </w:rPr>
            </w:pPr>
          </w:p>
          <w:p w14:paraId="33451A04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CC99"/>
          </w:tcPr>
          <w:p w14:paraId="7D03DE05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CC99"/>
          </w:tcPr>
          <w:p w14:paraId="18696C77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  <w:r w:rsidRPr="00E07233">
              <w:rPr>
                <w:rFonts w:asciiTheme="minorHAnsi" w:hAnsiTheme="minorHAnsi"/>
                <w:color w:val="FF0000"/>
              </w:rPr>
              <w:t>What next?</w:t>
            </w:r>
          </w:p>
          <w:p w14:paraId="1F72D472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134CCA45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03F87D08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6EE145B7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99"/>
          </w:tcPr>
          <w:p w14:paraId="533C64F5" w14:textId="77777777" w:rsidR="007C51B7" w:rsidRPr="00E07233" w:rsidRDefault="007C51B7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FF99"/>
          </w:tcPr>
          <w:p w14:paraId="4EF9DEFF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14:paraId="62ECCE3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CFFCC"/>
          </w:tcPr>
          <w:p w14:paraId="31B06EFF" w14:textId="77777777" w:rsidR="007C51B7" w:rsidRPr="00E07233" w:rsidRDefault="007C51B7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CFFCC"/>
          </w:tcPr>
          <w:p w14:paraId="589F0400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14:paraId="67696C42" w14:textId="77777777" w:rsidR="007C51B7" w:rsidRPr="00E07233" w:rsidRDefault="007C51B7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next?</w:t>
            </w:r>
          </w:p>
        </w:tc>
      </w:tr>
      <w:tr w:rsidR="007C51B7" w14:paraId="69051894" w14:textId="77777777" w:rsidTr="000A1789">
        <w:trPr>
          <w:trHeight w:val="1464"/>
        </w:trPr>
        <w:tc>
          <w:tcPr>
            <w:tcW w:w="23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00F554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1747EB20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3D13EC30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4058C4CE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2882E4BC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83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47414C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</w:tcPr>
          <w:p w14:paraId="3AA0CD7D" w14:textId="77777777" w:rsidR="00E07233" w:rsidRPr="000A1789" w:rsidRDefault="00E07233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1. </w:t>
            </w:r>
          </w:p>
          <w:p w14:paraId="45F7F5D3" w14:textId="77777777" w:rsidR="0025592F" w:rsidRPr="000A1789" w:rsidRDefault="007C51B7" w:rsidP="0025592F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Learners at the </w:t>
            </w:r>
            <w:proofErr w:type="spellStart"/>
            <w:r w:rsidRPr="000A1789">
              <w:rPr>
                <w:rFonts w:asciiTheme="minorHAnsi" w:hAnsiTheme="minorHAnsi"/>
                <w:sz w:val="28"/>
                <w:szCs w:val="28"/>
              </w:rPr>
              <w:t>centre</w:t>
            </w:r>
            <w:proofErr w:type="spellEnd"/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549E6915" w14:textId="77777777" w:rsidR="00E07233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2. </w:t>
            </w:r>
          </w:p>
          <w:p w14:paraId="5C3224C4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Social nature of learning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FFCC"/>
          </w:tcPr>
          <w:p w14:paraId="0AB960C0" w14:textId="77777777" w:rsidR="00E07233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3. </w:t>
            </w:r>
          </w:p>
          <w:p w14:paraId="04C16EA9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Emotions are integral to learning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14:paraId="0BBEF2C2" w14:textId="77777777" w:rsidR="007C51B7" w:rsidRPr="00E07233" w:rsidRDefault="007C51B7" w:rsidP="00E07233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E07233">
              <w:rPr>
                <w:rFonts w:asciiTheme="minorHAnsi" w:hAnsiTheme="minorHAnsi"/>
                <w:color w:val="5F497A" w:themeColor="accent4" w:themeShade="BF"/>
              </w:rPr>
              <w:t>What are we doing well</w:t>
            </w:r>
            <w:r w:rsidR="007C0CB3" w:rsidRPr="00E07233">
              <w:rPr>
                <w:rFonts w:asciiTheme="minorHAnsi" w:hAnsiTheme="minorHAnsi"/>
                <w:color w:val="5F497A" w:themeColor="accent4" w:themeShade="BF"/>
              </w:rPr>
              <w:t xml:space="preserve"> that is promoting learning</w:t>
            </w:r>
            <w:r w:rsidRPr="00E07233">
              <w:rPr>
                <w:rFonts w:asciiTheme="minorHAnsi" w:hAnsiTheme="minorHAnsi"/>
                <w:color w:val="5F497A" w:themeColor="accent4" w:themeShade="BF"/>
              </w:rPr>
              <w:t>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14:paraId="3773BA25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99FF"/>
          </w:tcPr>
          <w:p w14:paraId="6DB8E3B9" w14:textId="77777777" w:rsidR="007C51B7" w:rsidRPr="00E07233" w:rsidRDefault="007C0CB3" w:rsidP="00E07233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E07233">
              <w:rPr>
                <w:rFonts w:asciiTheme="minorHAnsi" w:hAnsiTheme="minorHAnsi"/>
                <w:color w:val="5F497A" w:themeColor="accent4" w:themeShade="BF"/>
              </w:rPr>
              <w:t>What are we not doing so well that isn’t promoting learning?</w:t>
            </w:r>
          </w:p>
        </w:tc>
      </w:tr>
      <w:tr w:rsidR="007C51B7" w14:paraId="11D98C05" w14:textId="77777777" w:rsidTr="000A1789">
        <w:tc>
          <w:tcPr>
            <w:tcW w:w="2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38CE705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4F876AF4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191EFF11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552BDC48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9D56" w14:textId="77777777" w:rsidR="007C51B7" w:rsidRPr="006C5061" w:rsidRDefault="007C51B7" w:rsidP="007C51B7">
            <w:pPr>
              <w:rPr>
                <w:rFonts w:asciiTheme="minorHAnsi" w:hAnsiTheme="minorHAnsi"/>
                <w:b/>
              </w:rPr>
            </w:pPr>
            <w:r w:rsidRPr="006C5061">
              <w:rPr>
                <w:rFonts w:asciiTheme="minorHAnsi" w:hAnsiTheme="minorHAnsi"/>
                <w:b/>
              </w:rPr>
              <w:t>Implications for our inquiry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D6A44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4697FA0" w14:textId="77777777" w:rsidR="000A1789" w:rsidRPr="000A1789" w:rsidRDefault="000A1789" w:rsidP="00E07233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E5207AC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Implications for our learning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3690" w14:textId="77777777" w:rsidR="007C51B7" w:rsidRPr="002F217D" w:rsidRDefault="007C51B7" w:rsidP="000A178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F217D">
              <w:rPr>
                <w:rFonts w:asciiTheme="minorHAnsi" w:hAnsiTheme="minorHAnsi"/>
                <w:b/>
                <w:sz w:val="28"/>
                <w:szCs w:val="28"/>
              </w:rPr>
              <w:t>STUDENT LEARNING FOCUS</w:t>
            </w:r>
            <w:r w:rsidR="002F217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99FF"/>
          </w:tcPr>
          <w:p w14:paraId="1C230D81" w14:textId="77777777" w:rsidR="00E07233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4. </w:t>
            </w:r>
          </w:p>
          <w:p w14:paraId="07C9C384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Recognizing individual differences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14:paraId="625E5486" w14:textId="77777777" w:rsidR="007C51B7" w:rsidRPr="00E07233" w:rsidRDefault="007C0CB3" w:rsidP="00E07233">
            <w:pPr>
              <w:rPr>
                <w:rFonts w:asciiTheme="minorHAnsi" w:hAnsiTheme="minorHAnsi"/>
                <w:color w:val="5F497A" w:themeColor="accent4" w:themeShade="BF"/>
              </w:rPr>
            </w:pPr>
            <w:r w:rsidRPr="00E07233">
              <w:rPr>
                <w:rFonts w:asciiTheme="minorHAnsi" w:hAnsiTheme="minorHAnsi"/>
                <w:color w:val="5F497A" w:themeColor="accent4" w:themeShade="BF"/>
              </w:rPr>
              <w:t>How do we know?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99FF"/>
          </w:tcPr>
          <w:p w14:paraId="57DD9403" w14:textId="77777777" w:rsidR="007C51B7" w:rsidRPr="00E07233" w:rsidRDefault="00E07233" w:rsidP="007C0CB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 Recogniz</w:t>
            </w:r>
            <w:r w:rsidR="007C51B7" w:rsidRPr="00E07233">
              <w:rPr>
                <w:rFonts w:asciiTheme="minorHAnsi" w:hAnsiTheme="minorHAnsi"/>
                <w:b/>
              </w:rPr>
              <w:t xml:space="preserve">ing individual differences </w:t>
            </w:r>
          </w:p>
          <w:p w14:paraId="6A84102D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676D8D6D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70D76AD5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132A5E39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C99FF"/>
          </w:tcPr>
          <w:p w14:paraId="5B6D7976" w14:textId="77777777" w:rsidR="007C51B7" w:rsidRPr="00E07233" w:rsidRDefault="007C0CB3" w:rsidP="00E07233">
            <w:pPr>
              <w:rPr>
                <w:rFonts w:asciiTheme="minorHAnsi" w:hAnsiTheme="minorHAnsi"/>
                <w:color w:val="5F497A" w:themeColor="accent4" w:themeShade="BF"/>
              </w:rPr>
            </w:pPr>
            <w:r w:rsidRPr="00E07233">
              <w:rPr>
                <w:rFonts w:asciiTheme="minorHAnsi" w:hAnsiTheme="minorHAnsi"/>
                <w:color w:val="5F497A" w:themeColor="accent4" w:themeShade="BF"/>
              </w:rPr>
              <w:t>How do we know?</w:t>
            </w:r>
          </w:p>
        </w:tc>
      </w:tr>
      <w:tr w:rsidR="007C51B7" w14:paraId="55031B11" w14:textId="77777777" w:rsidTr="00E07233">
        <w:tc>
          <w:tcPr>
            <w:tcW w:w="23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61DD61B9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04FAE21C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27C0EEDE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2F9871F2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06582CB4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FB7BC6B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6C45C91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761FFEB7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447B9CBB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55387B4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72DE990D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60A27963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33CCCC"/>
          </w:tcPr>
          <w:p w14:paraId="5417B9EF" w14:textId="77777777" w:rsidR="000A1789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7. </w:t>
            </w:r>
          </w:p>
          <w:p w14:paraId="2D44E00A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Building horizontal connections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CC00"/>
          </w:tcPr>
          <w:p w14:paraId="4653ADC8" w14:textId="77777777" w:rsidR="000A1789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6. </w:t>
            </w:r>
          </w:p>
          <w:p w14:paraId="133EBCCF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Assessment for learning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14:paraId="68DDFAEF" w14:textId="77777777" w:rsidR="00E07233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 xml:space="preserve">5. </w:t>
            </w:r>
          </w:p>
          <w:p w14:paraId="26F08355" w14:textId="77777777" w:rsidR="007C51B7" w:rsidRPr="000A1789" w:rsidRDefault="007C51B7" w:rsidP="00E07233">
            <w:pPr>
              <w:rPr>
                <w:rFonts w:asciiTheme="minorHAnsi" w:hAnsiTheme="minorHAnsi"/>
                <w:sz w:val="28"/>
                <w:szCs w:val="28"/>
              </w:rPr>
            </w:pPr>
            <w:r w:rsidRPr="000A1789">
              <w:rPr>
                <w:rFonts w:asciiTheme="minorHAnsi" w:hAnsiTheme="minorHAnsi"/>
                <w:sz w:val="28"/>
                <w:szCs w:val="28"/>
              </w:rPr>
              <w:t>Stretching all students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C99FF"/>
          </w:tcPr>
          <w:p w14:paraId="73EB2BEB" w14:textId="77777777" w:rsidR="007C51B7" w:rsidRPr="00E07233" w:rsidRDefault="007C0CB3" w:rsidP="00E07233">
            <w:pPr>
              <w:rPr>
                <w:rFonts w:asciiTheme="minorHAnsi" w:hAnsiTheme="minorHAnsi"/>
                <w:color w:val="5F497A" w:themeColor="accent4" w:themeShade="BF"/>
              </w:rPr>
            </w:pPr>
            <w:r w:rsidRPr="00E07233">
              <w:rPr>
                <w:rFonts w:asciiTheme="minorHAnsi" w:hAnsiTheme="minorHAnsi"/>
                <w:color w:val="5F497A" w:themeColor="accent4" w:themeShade="BF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C99FF"/>
          </w:tcPr>
          <w:p w14:paraId="2000C09F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CC99FF"/>
          </w:tcPr>
          <w:p w14:paraId="57EA5D1E" w14:textId="77777777" w:rsidR="007C51B7" w:rsidRPr="00E07233" w:rsidRDefault="007C0CB3" w:rsidP="00E07233">
            <w:pPr>
              <w:rPr>
                <w:rFonts w:asciiTheme="minorHAnsi" w:hAnsiTheme="minorHAnsi"/>
                <w:color w:val="5F497A" w:themeColor="accent4" w:themeShade="BF"/>
              </w:rPr>
            </w:pPr>
            <w:r w:rsidRPr="00E07233">
              <w:rPr>
                <w:rFonts w:asciiTheme="minorHAnsi" w:hAnsiTheme="minorHAnsi"/>
                <w:color w:val="5F497A" w:themeColor="accent4" w:themeShade="BF"/>
              </w:rPr>
              <w:t>What next?</w:t>
            </w:r>
          </w:p>
        </w:tc>
      </w:tr>
      <w:tr w:rsidR="007C51B7" w14:paraId="459AF65D" w14:textId="77777777" w:rsidTr="00E07233">
        <w:tc>
          <w:tcPr>
            <w:tcW w:w="235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33CCCC"/>
          </w:tcPr>
          <w:p w14:paraId="73324CD7" w14:textId="77777777" w:rsidR="007C51B7" w:rsidRPr="00E07233" w:rsidRDefault="007C0CB3" w:rsidP="00E07233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E07233">
              <w:rPr>
                <w:rFonts w:asciiTheme="minorHAnsi" w:hAnsiTheme="minorHAnsi"/>
                <w:color w:val="215868" w:themeColor="accent5" w:themeShade="80"/>
              </w:rPr>
              <w:t>What are we doing well that is promoting learning?</w:t>
            </w:r>
          </w:p>
          <w:p w14:paraId="6BBAC2FF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76D7AA3E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CC"/>
          </w:tcPr>
          <w:p w14:paraId="4AAB053C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33CCCC"/>
          </w:tcPr>
          <w:p w14:paraId="1DF49A41" w14:textId="77777777" w:rsidR="007C51B7" w:rsidRPr="00E07233" w:rsidRDefault="007C0CB3" w:rsidP="00E07233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E07233">
              <w:rPr>
                <w:rFonts w:asciiTheme="minorHAnsi" w:hAnsiTheme="minorHAnsi"/>
                <w:color w:val="215868" w:themeColor="accent5" w:themeShade="80"/>
              </w:rPr>
              <w:t>What are we not doing so well and isn’t promoting learning?</w:t>
            </w:r>
          </w:p>
          <w:p w14:paraId="4BCE5FB8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473AE0D9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38D0B7D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</w:tcPr>
          <w:p w14:paraId="3A2A09ED" w14:textId="77777777" w:rsidR="007C51B7" w:rsidRPr="00E07233" w:rsidRDefault="007C0CB3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are we doing well that is promoting learning?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</w:tcPr>
          <w:p w14:paraId="79CB99DE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CC00"/>
          </w:tcPr>
          <w:p w14:paraId="12DAD283" w14:textId="77777777" w:rsidR="007C51B7" w:rsidRPr="00E07233" w:rsidRDefault="007C0CB3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are we not doing so well that isn’t promoting learning?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FCA9E9D" w14:textId="77777777" w:rsidR="007C51B7" w:rsidRPr="00E07233" w:rsidRDefault="007C0CB3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are we doing well that is promoting learning?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4B33E1A0" w14:textId="77777777" w:rsidR="007C51B7" w:rsidRPr="00E07233" w:rsidRDefault="007C51B7" w:rsidP="00E07233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5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99CCFF"/>
          </w:tcPr>
          <w:p w14:paraId="206382E1" w14:textId="77777777" w:rsidR="007C0CB3" w:rsidRPr="00E07233" w:rsidRDefault="007C0CB3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are we not doing so well that isn’t promoting learning?</w:t>
            </w:r>
          </w:p>
          <w:p w14:paraId="24A0BDB8" w14:textId="77777777" w:rsidR="007C51B7" w:rsidRPr="00E07233" w:rsidRDefault="007C51B7" w:rsidP="007C0CB3">
            <w:pPr>
              <w:rPr>
                <w:rFonts w:asciiTheme="minorHAnsi" w:hAnsiTheme="minorHAnsi"/>
              </w:rPr>
            </w:pPr>
          </w:p>
        </w:tc>
      </w:tr>
      <w:tr w:rsidR="007C51B7" w14:paraId="0D334D37" w14:textId="77777777" w:rsidTr="00E07233">
        <w:tc>
          <w:tcPr>
            <w:tcW w:w="235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33CCCC"/>
          </w:tcPr>
          <w:p w14:paraId="64EA224D" w14:textId="77777777" w:rsidR="007C51B7" w:rsidRPr="00E07233" w:rsidRDefault="007C0CB3" w:rsidP="00E07233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E07233">
              <w:rPr>
                <w:rFonts w:asciiTheme="minorHAnsi" w:hAnsiTheme="minorHAnsi"/>
                <w:color w:val="215868" w:themeColor="accent5" w:themeShade="80"/>
              </w:rPr>
              <w:t>How do we know?</w:t>
            </w:r>
          </w:p>
          <w:p w14:paraId="0532DFFC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0BC76B44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7C6AC353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CCCC"/>
          </w:tcPr>
          <w:p w14:paraId="26D44D20" w14:textId="77777777" w:rsidR="007C51B7" w:rsidRPr="00E07233" w:rsidRDefault="007C51B7" w:rsidP="007C0CB3">
            <w:pPr>
              <w:rPr>
                <w:rFonts w:asciiTheme="minorHAnsi" w:hAnsiTheme="minorHAnsi"/>
                <w:b/>
              </w:rPr>
            </w:pPr>
            <w:r w:rsidRPr="00E07233">
              <w:rPr>
                <w:rFonts w:asciiTheme="minorHAnsi" w:hAnsiTheme="minorHAnsi"/>
                <w:b/>
              </w:rPr>
              <w:t xml:space="preserve">7. Building horizontal connections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33CCCC"/>
          </w:tcPr>
          <w:p w14:paraId="399F95C6" w14:textId="77777777" w:rsidR="007C51B7" w:rsidRPr="00E07233" w:rsidRDefault="007C0CB3" w:rsidP="00E07233">
            <w:pPr>
              <w:rPr>
                <w:rFonts w:asciiTheme="minorHAnsi" w:hAnsiTheme="minorHAnsi"/>
              </w:rPr>
            </w:pPr>
            <w:r w:rsidRPr="00E07233">
              <w:rPr>
                <w:rFonts w:asciiTheme="minorHAnsi" w:hAnsiTheme="minorHAnsi"/>
                <w:color w:val="215868" w:themeColor="accent5" w:themeShade="80"/>
              </w:rPr>
              <w:t>How do we know?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</w:tcPr>
          <w:p w14:paraId="3A419BE8" w14:textId="77777777" w:rsidR="007C51B7" w:rsidRPr="00E07233" w:rsidRDefault="007C0CB3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How do we know?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00"/>
          </w:tcPr>
          <w:p w14:paraId="0206D7FF" w14:textId="77777777" w:rsidR="007C51B7" w:rsidRPr="00E07233" w:rsidRDefault="007C51B7" w:rsidP="007C0CB3">
            <w:pPr>
              <w:rPr>
                <w:rFonts w:asciiTheme="minorHAnsi" w:hAnsiTheme="minorHAnsi"/>
                <w:b/>
              </w:rPr>
            </w:pPr>
            <w:r w:rsidRPr="00E07233">
              <w:rPr>
                <w:rFonts w:asciiTheme="minorHAnsi" w:hAnsiTheme="minorHAnsi"/>
                <w:b/>
              </w:rPr>
              <w:t xml:space="preserve">6. Assessment for learning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CC00"/>
          </w:tcPr>
          <w:p w14:paraId="5B98F467" w14:textId="77777777" w:rsidR="007C51B7" w:rsidRPr="00E07233" w:rsidRDefault="007C0CB3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How do we know?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15E4F80D" w14:textId="77777777" w:rsidR="007C51B7" w:rsidRPr="00E07233" w:rsidRDefault="007C0CB3" w:rsidP="007C0CB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How do we know?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0C0CD308" w14:textId="77777777" w:rsidR="007C51B7" w:rsidRPr="006C5061" w:rsidRDefault="007C51B7" w:rsidP="007C0CB3">
            <w:pPr>
              <w:rPr>
                <w:rFonts w:asciiTheme="minorHAnsi" w:hAnsiTheme="minorHAnsi"/>
                <w:b/>
              </w:rPr>
            </w:pPr>
            <w:r w:rsidRPr="006C5061">
              <w:rPr>
                <w:rFonts w:asciiTheme="minorHAnsi" w:hAnsiTheme="minorHAnsi"/>
                <w:b/>
              </w:rPr>
              <w:t>5. Stretching all students</w:t>
            </w:r>
            <w:r w:rsidR="007C0CB3" w:rsidRPr="006C5061">
              <w:rPr>
                <w:rFonts w:asciiTheme="minorHAnsi" w:hAnsiTheme="minorHAnsi"/>
                <w:b/>
              </w:rPr>
              <w:t xml:space="preserve"> </w:t>
            </w:r>
          </w:p>
          <w:p w14:paraId="6308983F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5BC58785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43ECE2F7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71CBFBEA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  <w:p w14:paraId="398C2636" w14:textId="77777777" w:rsidR="007C0CB3" w:rsidRPr="00E07233" w:rsidRDefault="007C0CB3" w:rsidP="007C0CB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99CCFF"/>
          </w:tcPr>
          <w:p w14:paraId="50A2B62A" w14:textId="77777777" w:rsidR="007C51B7" w:rsidRPr="00E07233" w:rsidRDefault="007C0CB3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How do we know?</w:t>
            </w:r>
          </w:p>
        </w:tc>
      </w:tr>
      <w:tr w:rsidR="007C51B7" w14:paraId="754BB23D" w14:textId="77777777" w:rsidTr="00E07233">
        <w:tc>
          <w:tcPr>
            <w:tcW w:w="235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33CCCC"/>
          </w:tcPr>
          <w:p w14:paraId="0425F64D" w14:textId="77777777" w:rsidR="007C51B7" w:rsidRPr="00E07233" w:rsidRDefault="007C0CB3" w:rsidP="00E07233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E07233">
              <w:rPr>
                <w:rFonts w:asciiTheme="minorHAnsi" w:hAnsiTheme="minorHAnsi"/>
                <w:color w:val="215868" w:themeColor="accent5" w:themeShade="80"/>
              </w:rPr>
              <w:t>What next?</w:t>
            </w:r>
          </w:p>
          <w:p w14:paraId="3F6687BE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5B725E76" w14:textId="77777777" w:rsidR="0025592F" w:rsidRPr="00E07233" w:rsidRDefault="0025592F" w:rsidP="00E07233">
            <w:pPr>
              <w:rPr>
                <w:rFonts w:asciiTheme="minorHAnsi" w:hAnsiTheme="minorHAnsi"/>
              </w:rPr>
            </w:pPr>
          </w:p>
          <w:p w14:paraId="4D9EB7EC" w14:textId="77777777" w:rsidR="0025592F" w:rsidRPr="00E07233" w:rsidRDefault="0025592F" w:rsidP="00E07233">
            <w:pPr>
              <w:rPr>
                <w:rFonts w:asciiTheme="minorHAnsi" w:hAnsiTheme="minorHAnsi"/>
              </w:rPr>
            </w:pPr>
          </w:p>
          <w:p w14:paraId="5D02B784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4C473A8A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33CCCC"/>
          </w:tcPr>
          <w:p w14:paraId="639D9613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2F933DDB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3EB8C410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51467AEB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  <w:p w14:paraId="17E672CC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33CCCC"/>
          </w:tcPr>
          <w:p w14:paraId="7ECEC563" w14:textId="77777777" w:rsidR="007C51B7" w:rsidRPr="00E07233" w:rsidRDefault="007C0CB3" w:rsidP="00E07233">
            <w:pPr>
              <w:rPr>
                <w:rFonts w:asciiTheme="minorHAnsi" w:hAnsiTheme="minorHAnsi"/>
                <w:color w:val="215868" w:themeColor="accent5" w:themeShade="80"/>
              </w:rPr>
            </w:pPr>
            <w:r w:rsidRPr="00E07233">
              <w:rPr>
                <w:rFonts w:asciiTheme="minorHAnsi" w:hAnsiTheme="minorHAnsi"/>
                <w:color w:val="215868" w:themeColor="accent5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CC00"/>
          </w:tcPr>
          <w:p w14:paraId="5D775987" w14:textId="77777777" w:rsidR="007C51B7" w:rsidRPr="00E07233" w:rsidRDefault="007C0CB3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FFCC00"/>
          </w:tcPr>
          <w:p w14:paraId="46B285E8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CC00"/>
          </w:tcPr>
          <w:p w14:paraId="49C7E468" w14:textId="77777777" w:rsidR="007C51B7" w:rsidRPr="00E07233" w:rsidRDefault="007C0CB3" w:rsidP="00E07233">
            <w:pPr>
              <w:rPr>
                <w:rFonts w:asciiTheme="minorHAnsi" w:hAnsiTheme="minorHAnsi"/>
                <w:color w:val="984806" w:themeColor="accent6" w:themeShade="80"/>
              </w:rPr>
            </w:pPr>
            <w:r w:rsidRPr="00E07233">
              <w:rPr>
                <w:rFonts w:asciiTheme="minorHAnsi" w:hAnsiTheme="minorHAnsi"/>
                <w:color w:val="984806" w:themeColor="accent6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99CCFF"/>
          </w:tcPr>
          <w:p w14:paraId="14923C6E" w14:textId="77777777" w:rsidR="007C51B7" w:rsidRPr="00E07233" w:rsidRDefault="007C0CB3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next?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99CCFF"/>
          </w:tcPr>
          <w:p w14:paraId="492508D9" w14:textId="77777777" w:rsidR="007C51B7" w:rsidRPr="00E07233" w:rsidRDefault="007C51B7" w:rsidP="00E07233">
            <w:pPr>
              <w:rPr>
                <w:rFonts w:asciiTheme="minorHAnsi" w:hAnsiTheme="minorHAnsi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99CCFF"/>
          </w:tcPr>
          <w:p w14:paraId="2CD15236" w14:textId="77777777" w:rsidR="007C51B7" w:rsidRPr="00E07233" w:rsidRDefault="007C0CB3" w:rsidP="00E07233">
            <w:pPr>
              <w:rPr>
                <w:rFonts w:asciiTheme="minorHAnsi" w:hAnsiTheme="minorHAnsi"/>
                <w:color w:val="244061" w:themeColor="accent1" w:themeShade="80"/>
              </w:rPr>
            </w:pPr>
            <w:r w:rsidRPr="00E07233">
              <w:rPr>
                <w:rFonts w:asciiTheme="minorHAnsi" w:hAnsiTheme="minorHAnsi"/>
                <w:color w:val="244061" w:themeColor="accent1" w:themeShade="80"/>
              </w:rPr>
              <w:t>What next?</w:t>
            </w:r>
          </w:p>
        </w:tc>
      </w:tr>
    </w:tbl>
    <w:p w14:paraId="7401B914" w14:textId="77777777" w:rsidR="007C51B7" w:rsidRDefault="007C51B7" w:rsidP="007C51B7"/>
    <w:p w14:paraId="01263C44" w14:textId="77777777" w:rsidR="00877B74" w:rsidRDefault="00877B74"/>
    <w:sectPr w:rsidR="00877B74" w:rsidSect="00E07233">
      <w:pgSz w:w="23820" w:h="16840" w:orient="landscape"/>
      <w:pgMar w:top="720" w:right="1440" w:bottom="7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89BE4" w14:textId="77777777" w:rsidR="0004524B" w:rsidRDefault="0004524B" w:rsidP="0004524B">
      <w:pPr>
        <w:spacing w:after="0" w:line="240" w:lineRule="auto"/>
      </w:pPr>
      <w:r>
        <w:separator/>
      </w:r>
    </w:p>
  </w:endnote>
  <w:endnote w:type="continuationSeparator" w:id="0">
    <w:p w14:paraId="64CDCEA6" w14:textId="77777777" w:rsidR="0004524B" w:rsidRDefault="0004524B" w:rsidP="0004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Neue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4638B" w14:textId="77777777" w:rsidR="0004524B" w:rsidRDefault="0004524B">
    <w:pPr>
      <w:pStyle w:val="Footer"/>
    </w:pPr>
    <w:r>
      <w:t xml:space="preserve">Downloaded from </w:t>
    </w:r>
    <w:hyperlink r:id="rId1" w:history="1">
      <w:r w:rsidRPr="0004524B">
        <w:rPr>
          <w:rStyle w:val="Hyperlink"/>
        </w:rPr>
        <w:t>Leading-spirals-of-inquiry/Scanning/Tools-and-approaches</w:t>
      </w:r>
    </w:hyperlink>
  </w:p>
  <w:p w14:paraId="06CBA6D6" w14:textId="77777777" w:rsidR="0004524B" w:rsidRDefault="000452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2A3E4" w14:textId="77777777" w:rsidR="0004524B" w:rsidRDefault="0004524B" w:rsidP="0004524B">
      <w:pPr>
        <w:spacing w:after="0" w:line="240" w:lineRule="auto"/>
      </w:pPr>
      <w:r>
        <w:separator/>
      </w:r>
    </w:p>
  </w:footnote>
  <w:footnote w:type="continuationSeparator" w:id="0">
    <w:p w14:paraId="59190C6C" w14:textId="77777777" w:rsidR="0004524B" w:rsidRDefault="0004524B" w:rsidP="0004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DB7"/>
    <w:multiLevelType w:val="hybridMultilevel"/>
    <w:tmpl w:val="BC6AA21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8129F"/>
    <w:multiLevelType w:val="hybridMultilevel"/>
    <w:tmpl w:val="0C3EFFB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095615E"/>
    <w:multiLevelType w:val="hybridMultilevel"/>
    <w:tmpl w:val="FD24F82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40591"/>
    <w:multiLevelType w:val="hybridMultilevel"/>
    <w:tmpl w:val="74067D2C"/>
    <w:lvl w:ilvl="0" w:tplc="04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B7B42EE"/>
    <w:multiLevelType w:val="hybridMultilevel"/>
    <w:tmpl w:val="AC5A6D9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86B1893"/>
    <w:multiLevelType w:val="hybridMultilevel"/>
    <w:tmpl w:val="0FFECD8E"/>
    <w:lvl w:ilvl="0" w:tplc="31D07810">
      <w:start w:val="1"/>
      <w:numFmt w:val="bullet"/>
      <w:lvlText w:val=""/>
      <w:lvlJc w:val="left"/>
      <w:pPr>
        <w:ind w:left="1125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8B1117B"/>
    <w:multiLevelType w:val="hybridMultilevel"/>
    <w:tmpl w:val="9F087108"/>
    <w:lvl w:ilvl="0" w:tplc="31D07810">
      <w:start w:val="1"/>
      <w:numFmt w:val="bullet"/>
      <w:lvlText w:val=""/>
      <w:lvlJc w:val="left"/>
      <w:pPr>
        <w:ind w:left="1125" w:hanging="360"/>
      </w:pPr>
      <w:rPr>
        <w:rFonts w:asciiTheme="minorHAnsi" w:hAnsi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4BC1779"/>
    <w:multiLevelType w:val="hybridMultilevel"/>
    <w:tmpl w:val="7A046D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17703"/>
    <w:multiLevelType w:val="hybridMultilevel"/>
    <w:tmpl w:val="F26CAAF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3F52B0C"/>
    <w:multiLevelType w:val="hybridMultilevel"/>
    <w:tmpl w:val="6EB6C856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4A343C3"/>
    <w:multiLevelType w:val="hybridMultilevel"/>
    <w:tmpl w:val="B4CCA00A"/>
    <w:lvl w:ilvl="0" w:tplc="4256595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1">
    <w:nsid w:val="6DDE1C8C"/>
    <w:multiLevelType w:val="hybridMultilevel"/>
    <w:tmpl w:val="D55CB298"/>
    <w:lvl w:ilvl="0" w:tplc="C08093C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6F12520E"/>
    <w:multiLevelType w:val="hybridMultilevel"/>
    <w:tmpl w:val="73DC4332"/>
    <w:lvl w:ilvl="0" w:tplc="4256595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74"/>
    <w:rsid w:val="00034EB7"/>
    <w:rsid w:val="0004524B"/>
    <w:rsid w:val="000A1789"/>
    <w:rsid w:val="0025592F"/>
    <w:rsid w:val="00275689"/>
    <w:rsid w:val="002F217D"/>
    <w:rsid w:val="004C715D"/>
    <w:rsid w:val="00576B80"/>
    <w:rsid w:val="006C5061"/>
    <w:rsid w:val="007C0CB3"/>
    <w:rsid w:val="007C51B7"/>
    <w:rsid w:val="00877B74"/>
    <w:rsid w:val="0093481D"/>
    <w:rsid w:val="00A82B3B"/>
    <w:rsid w:val="00E07233"/>
    <w:rsid w:val="00F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CB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B7"/>
  </w:style>
  <w:style w:type="paragraph" w:styleId="Heading1">
    <w:name w:val="heading 1"/>
    <w:basedOn w:val="Normal"/>
    <w:next w:val="Normal"/>
    <w:link w:val="Heading1Char"/>
    <w:uiPriority w:val="9"/>
    <w:qFormat/>
    <w:rsid w:val="00E07233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89"/>
    <w:pPr>
      <w:ind w:left="720"/>
      <w:contextualSpacing/>
    </w:pPr>
  </w:style>
  <w:style w:type="table" w:styleId="TableGrid">
    <w:name w:val="Table Grid"/>
    <w:basedOn w:val="TableNormal"/>
    <w:uiPriority w:val="59"/>
    <w:rsid w:val="007C51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72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F21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1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4B"/>
  </w:style>
  <w:style w:type="paragraph" w:styleId="Footer">
    <w:name w:val="footer"/>
    <w:basedOn w:val="Normal"/>
    <w:link w:val="FooterChar"/>
    <w:uiPriority w:val="99"/>
    <w:unhideWhenUsed/>
    <w:rsid w:val="00045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B7"/>
  </w:style>
  <w:style w:type="paragraph" w:styleId="Heading1">
    <w:name w:val="heading 1"/>
    <w:basedOn w:val="Normal"/>
    <w:next w:val="Normal"/>
    <w:link w:val="Heading1Char"/>
    <w:uiPriority w:val="9"/>
    <w:qFormat/>
    <w:rsid w:val="00E07233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689"/>
    <w:pPr>
      <w:ind w:left="720"/>
      <w:contextualSpacing/>
    </w:pPr>
  </w:style>
  <w:style w:type="table" w:styleId="TableGrid">
    <w:name w:val="Table Grid"/>
    <w:basedOn w:val="TableNormal"/>
    <w:uiPriority w:val="59"/>
    <w:rsid w:val="007C51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72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F21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1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4B"/>
  </w:style>
  <w:style w:type="paragraph" w:styleId="Footer">
    <w:name w:val="footer"/>
    <w:basedOn w:val="Normal"/>
    <w:link w:val="FooterChar"/>
    <w:uiPriority w:val="99"/>
    <w:unhideWhenUsed/>
    <w:rsid w:val="00045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oecd.org/edu/ceri/50300814.pdf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alleaders.govt.nz/Collaboration2/Leading-spirals-of-inquiry/Scanning/Tools-and-approac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Timperley</dc:creator>
  <cp:lastModifiedBy>Catherine Van Hale</cp:lastModifiedBy>
  <cp:revision>2</cp:revision>
  <dcterms:created xsi:type="dcterms:W3CDTF">2016-08-03T23:05:00Z</dcterms:created>
  <dcterms:modified xsi:type="dcterms:W3CDTF">2016-08-03T23:05:00Z</dcterms:modified>
</cp:coreProperties>
</file>